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A" w:rsidRDefault="000E21DA" w:rsidP="000E21D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6665">
        <w:rPr>
          <w:rFonts w:ascii="Times New Roman" w:hAnsi="Times New Roman"/>
          <w:b/>
          <w:sz w:val="24"/>
          <w:szCs w:val="24"/>
        </w:rPr>
        <w:t xml:space="preserve">Вопросы к </w:t>
      </w:r>
      <w:proofErr w:type="spellStart"/>
      <w:r w:rsidR="000A7895">
        <w:rPr>
          <w:rFonts w:ascii="Times New Roman" w:hAnsi="Times New Roman"/>
          <w:b/>
          <w:sz w:val="24"/>
          <w:szCs w:val="24"/>
        </w:rPr>
        <w:t>зечёту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 дисциплине Агрохимия</w:t>
      </w:r>
    </w:p>
    <w:p w:rsidR="000E21DA" w:rsidRPr="008D6665" w:rsidRDefault="000E21DA" w:rsidP="000E21D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E21DA" w:rsidRPr="008D6665" w:rsidRDefault="000E21DA" w:rsidP="000E21DA">
      <w:pPr>
        <w:numPr>
          <w:ilvl w:val="1"/>
          <w:numId w:val="1"/>
        </w:numPr>
        <w:spacing w:after="0" w:line="240" w:lineRule="auto"/>
        <w:ind w:left="709" w:hanging="589"/>
        <w:contextualSpacing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Предмет, методы и задачи агрохимии.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Роль русских и зарубежных ученых в развитии учения о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Химизация земледелия. Состояние и перспективы применения удобрений и средств химизации в РФ и Ставропольском крае.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Влияние удобрений на устойчивость растений к вредителям, болезням и сорнякам.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Периодичность поступления питательны</w:t>
      </w:r>
      <w:bookmarkStart w:id="0" w:name="_GoBack"/>
      <w:bookmarkEnd w:id="0"/>
      <w:r w:rsidRPr="008D6665">
        <w:rPr>
          <w:rFonts w:ascii="Times New Roman" w:hAnsi="Times New Roman"/>
          <w:sz w:val="24"/>
          <w:szCs w:val="24"/>
        </w:rPr>
        <w:t>х веществ в растения и способы ее регулирования.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Химический состав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Вынос элементов питания урожаем сельскохозяйственных культур.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Основные теории поглощения элементов питания растениями.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Влияние внешних условий на поглощение питательных веществ растениями (свет, вода, температура).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Влияние внешних условий на поглощение питательных веществ растениями (концентрация и состав почвенного раствора, аэрация, реакция почвенной среды).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Физиологическая реакция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Способы внесения удобрений, их назначение в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Влияние прикорневых и поверхностных подкормок азотными удобрениями на урожайность и качество зерна озимой пшеницы, совместное применение с пестицидами.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Плодородие почвы, его виды. Пути повышения эффективного плодородия почвы.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Состав почвы. Роль органической и минеральной частей почвы в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Биологическая, механическая и физическая поглотительная способность почвы в связи с применением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Химическая поглотительная способность и ее значение для применения фосфорных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Физико-химическая или обменная поглотительная способность почв и ее практическое значение для применения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Отношение сельскохозяйственных растений к реакции почвы.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Нуждаемость в гипсовании (дозы, сроки и способы внесения гипса).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Нуждаемость в известковании (дозы, сроки и способы внесения извести).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Классификация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Роль азота в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Особенности питания растений нитратами и аммиачным азотом.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Превращение азота в почве (аммонификация, нитрификация и денитрификация).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Содержание азота в почвах. Источники поступления и потерь азота в почве.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Влияние азотных удобрений на урожай и качество с.-х. культур, устойчивость растений к болезням и вредителям.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Ассортимент и свойства нитратных форм азотных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Ассортимент и свойства амидных форм азотных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Влияние фосфорных и калийных удобрений на урожай и качество с.-х. культур, устойчивость растений к болезням и вредителям.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Ассортимент и свойства фосфорных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Кальциевая селитра: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Натриевая селитра: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Хлористый аммоний: состав,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Сернокислый аммоний: состав,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Жидкий аммиак и аммиачная вода: </w:t>
      </w:r>
      <w:r w:rsidRPr="008D6665">
        <w:rPr>
          <w:rFonts w:ascii="Times New Roman" w:hAnsi="Times New Roman"/>
          <w:spacing w:val="-20"/>
          <w:sz w:val="24"/>
          <w:szCs w:val="24"/>
        </w:rPr>
        <w:t>свойства и условия</w:t>
      </w:r>
      <w:r w:rsidRPr="008D6665">
        <w:rPr>
          <w:rFonts w:ascii="Times New Roman" w:hAnsi="Times New Roman"/>
          <w:sz w:val="24"/>
          <w:szCs w:val="24"/>
        </w:rPr>
        <w:t xml:space="preserve">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Аммиачная селитра: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Мочевина: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lastRenderedPageBreak/>
        <w:t xml:space="preserve"> КАС: состав,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Роль фосфора в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Содержание и формы соединений фосфора в почве.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Перспективы применения фосфорных удобрений. Сырье для производства фосфорных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Суперфосфат простой: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Концентрированный суперфосфат: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Преципитат: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Фосфоритная мука,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Роль калия в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Соединения калия в почве. Круговорот и баланс калия в почве.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Хлористый калий: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40-% калийная соль: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Сернокислый калий: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Сырые калийные удобрения (сильвинит, карналлит):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Понятие о комплексных удобрениях. Ассортимент, свойства и их экономическое и агротехническое значение.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Аммофос: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Диаммофос: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Калийная селитра: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Нитрофос и нитрофоска: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6665">
        <w:rPr>
          <w:rFonts w:ascii="Times New Roman" w:hAnsi="Times New Roman"/>
          <w:sz w:val="24"/>
          <w:szCs w:val="24"/>
        </w:rPr>
        <w:t>Нитроаммофос</w:t>
      </w:r>
      <w:proofErr w:type="spellEnd"/>
      <w:r w:rsidRPr="008D6665">
        <w:rPr>
          <w:rFonts w:ascii="Times New Roman" w:hAnsi="Times New Roman"/>
          <w:sz w:val="24"/>
          <w:szCs w:val="24"/>
        </w:rPr>
        <w:t xml:space="preserve"> и нитроаммофоска: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Жидкие комплексные удобрения,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6665">
        <w:rPr>
          <w:rFonts w:ascii="Times New Roman" w:hAnsi="Times New Roman"/>
          <w:sz w:val="24"/>
          <w:szCs w:val="24"/>
        </w:rPr>
        <w:t>Тукосмеси</w:t>
      </w:r>
      <w:proofErr w:type="spellEnd"/>
      <w:r w:rsidRPr="008D6665">
        <w:rPr>
          <w:rFonts w:ascii="Times New Roman" w:hAnsi="Times New Roman"/>
          <w:sz w:val="24"/>
          <w:szCs w:val="24"/>
        </w:rPr>
        <w:t xml:space="preserve">: состав, свойства. Значение </w:t>
      </w:r>
      <w:proofErr w:type="spellStart"/>
      <w:r w:rsidRPr="008D6665">
        <w:rPr>
          <w:rFonts w:ascii="Times New Roman" w:hAnsi="Times New Roman"/>
          <w:sz w:val="24"/>
          <w:szCs w:val="24"/>
        </w:rPr>
        <w:t>тукосмешивания</w:t>
      </w:r>
      <w:proofErr w:type="spellEnd"/>
      <w:r w:rsidRPr="008D6665">
        <w:rPr>
          <w:rFonts w:ascii="Times New Roman" w:hAnsi="Times New Roman"/>
          <w:sz w:val="24"/>
          <w:szCs w:val="24"/>
        </w:rPr>
        <w:t>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Значение микроэлементов для растений, необходимость их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Борные и медные удобрения: роль в питании, содержание в почве,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Цинковые и марганцевые удобрения: роль в питании, содержание в почве,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Молибденовые и кобальтовые удобрения: роль в питании, содержание в почве,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Правила хранения удобрений и подготовка их к внесению.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Задачи системы удобрения и принципы ее построения.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Особенности построения системы удобрений при комплексной химизации.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6665">
        <w:rPr>
          <w:rFonts w:ascii="Times New Roman" w:hAnsi="Times New Roman"/>
          <w:sz w:val="24"/>
          <w:szCs w:val="24"/>
        </w:rPr>
        <w:t>Способы (</w:t>
      </w:r>
      <w:proofErr w:type="spellStart"/>
      <w:r w:rsidRPr="008D6665">
        <w:rPr>
          <w:rFonts w:ascii="Times New Roman" w:hAnsi="Times New Roman"/>
          <w:sz w:val="24"/>
          <w:szCs w:val="24"/>
        </w:rPr>
        <w:t>допосевное</w:t>
      </w:r>
      <w:proofErr w:type="spellEnd"/>
      <w:r w:rsidRPr="008D66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6665">
        <w:rPr>
          <w:rFonts w:ascii="Times New Roman" w:hAnsi="Times New Roman"/>
          <w:sz w:val="24"/>
          <w:szCs w:val="24"/>
        </w:rPr>
        <w:t>припосевное</w:t>
      </w:r>
      <w:proofErr w:type="spellEnd"/>
      <w:r w:rsidRPr="008D6665">
        <w:rPr>
          <w:rFonts w:ascii="Times New Roman" w:hAnsi="Times New Roman"/>
          <w:sz w:val="24"/>
          <w:szCs w:val="24"/>
        </w:rPr>
        <w:t>, послепосевное) и приемы (локальное, вразброс, запасное) внесение удобрения.</w:t>
      </w:r>
      <w:proofErr w:type="gramEnd"/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Определение норм удобрений  под сельскохозяйственные культуры (на основе полевых опытов, картограмм, </w:t>
      </w:r>
      <w:proofErr w:type="spellStart"/>
      <w:r w:rsidRPr="008D6665">
        <w:rPr>
          <w:rFonts w:ascii="Times New Roman" w:hAnsi="Times New Roman"/>
          <w:sz w:val="24"/>
          <w:szCs w:val="24"/>
        </w:rPr>
        <w:t>балансово</w:t>
      </w:r>
      <w:proofErr w:type="spellEnd"/>
      <w:r w:rsidRPr="008D6665">
        <w:rPr>
          <w:rFonts w:ascii="Times New Roman" w:hAnsi="Times New Roman"/>
          <w:sz w:val="24"/>
          <w:szCs w:val="24"/>
        </w:rPr>
        <w:t>-расчетные методы).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Сочетание минеральных и органических удобрений при применении их под полевые культуры.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Удобрение озимой пшеницы.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Удобрение подсолнечника.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Удобрение сахарной свеклы. 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Удобрение кукурузы.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Удобрение яровых зерновых культур (ячмень, овес).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Качественное распознавание азотных удобрений в производственных условиях.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Качественное распознавание фосфорных удобрений в производственных условиях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Качественное распознавание  калийных удобрений в производственных условиях.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Солома как органическое удобрение, состав,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Птичий помет: его состав, хранение,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Значение и виды зеленого удобрения,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lastRenderedPageBreak/>
        <w:t xml:space="preserve"> Навозная жижа - состав, хранение,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Подстилочный и </w:t>
      </w:r>
      <w:proofErr w:type="spellStart"/>
      <w:r w:rsidRPr="008D6665">
        <w:rPr>
          <w:rFonts w:ascii="Times New Roman" w:hAnsi="Times New Roman"/>
          <w:sz w:val="24"/>
          <w:szCs w:val="24"/>
        </w:rPr>
        <w:t>бесподстилочный</w:t>
      </w:r>
      <w:proofErr w:type="spellEnd"/>
      <w:r w:rsidRPr="008D6665">
        <w:rPr>
          <w:rFonts w:ascii="Times New Roman" w:hAnsi="Times New Roman"/>
          <w:sz w:val="24"/>
          <w:szCs w:val="24"/>
        </w:rPr>
        <w:t xml:space="preserve"> навоз. Их составные части,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Значение навоза и других органических удобрений в повышении урожаев сельскохозяйственных культур и плодородия почвы.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Методы расчета экономической эффективности от удобрения сельскохозяйственной культуры, сорта, севооборота.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Эффективность органических удобрений в различных почвенно-климатических зонах страны, действие и последействие их на урожайность с.-х. культур.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Методы агрохимических исследований (полевой, вегетационный и производственный опыты). Построение схемы полевых опытов.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Задачи и структура современной агрохимической службы РФ.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Охрана окружающей среды при использовании средств химизации.</w:t>
      </w:r>
    </w:p>
    <w:p w:rsidR="00D8789B" w:rsidRDefault="00D8789B"/>
    <w:sectPr w:rsidR="00D8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268F"/>
    <w:multiLevelType w:val="hybridMultilevel"/>
    <w:tmpl w:val="E234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89"/>
    <w:rsid w:val="000A7895"/>
    <w:rsid w:val="000E21DA"/>
    <w:rsid w:val="00977789"/>
    <w:rsid w:val="00D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3</cp:revision>
  <dcterms:created xsi:type="dcterms:W3CDTF">2020-12-09T20:57:00Z</dcterms:created>
  <dcterms:modified xsi:type="dcterms:W3CDTF">2021-05-17T12:43:00Z</dcterms:modified>
</cp:coreProperties>
</file>